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BRAND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69" w:lineRule="auto"/>
      </w:pPr>
      <w:r>
        <w:rPr>
          <w:rFonts w:ascii="Arial" w:hAnsi="Arial"/>
          <w:sz w:val="19"/>
        </w:rPr>
        <w:t>Brand Manager with 9+ years translating consumer insight into positioning, portfolio strategy, and integrated campaigns for global consumer brands. Connects creative judgment and commercial discipline to grow consideration, penetration, and category revenue.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Senior Brand Manager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8"/>
        </w:rPr>
        <w:t>Nike, Beaverton, OR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Owned North America strategy for a $680M running portfolio, increasing category revenue 14% and aided consideration 8 points.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Synthesized research from 6,400 athletes into a new positioning platform adopted across product, retail, and media.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Directed a $19M integrated launch across creators, retail, sport, and digital, delivering 1.6x target earned reach.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portfolio and pricing scenarios with Finance, reallocating $7.2M toward higher-growth consumer segments.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Led six agency and internal partners through one measurement plan, reducing duplicated campaign production 22%.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Commissioned brand-lift and incrementality studies that clarified the relative contribution of creator, retail, and paid-media investment.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Brand Manager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8"/>
        </w:rPr>
        <w:t>Procter &amp; Gamble, Cincinnati, OH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Managed annual brand planning for a $310M personal-care line, growing household penetration 3.6 points.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Redesigned claims and packaging from concept tests, increasing shelf conversion 11% across national retailers.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Built retailer-specific activation plans with Sales, contributing $28M in incremental annual revenue.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Established quarterly brand health reviews covering awareness, trial, repeat, margin, and creative wear-out.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Briefed executive leaders on category risks and recommended investment shifts ahead of annual planning.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Partnered with innovation teams on concept pipelines that balanced consumer demand, margin, and manufacturing readiness.</w:t>
      </w:r>
    </w:p>
    <w:p>
      <w:pPr>
        <w:keepNext/>
        <w:tabs>
          <w:tab w:pos="9936" w:val="right"/>
        </w:tabs>
        <w:spacing w:before="140" w:after="60" w:line="252" w:lineRule="auto"/>
      </w:pPr>
      <w:r>
        <w:rPr>
          <w:rFonts w:ascii="Arial" w:hAnsi="Arial"/>
          <w:b/>
          <w:sz w:val="19"/>
        </w:rPr>
        <w:t>Assistant Brand Manager</w:t>
      </w:r>
      <w:r>
        <w:rPr>
          <w:rFonts w:ascii="Arial" w:hAnsi="Arial"/>
          <w:color w:val="666666"/>
          <w:sz w:val="16"/>
        </w:rPr>
        <w:tab/>
        <w:t>Aug 2016 - Apr 2019</w:t>
        <w:br/>
      </w:r>
      <w:r>
        <w:rPr>
          <w:rFonts w:ascii="Arial" w:hAnsi="Arial"/>
          <w:b/>
          <w:sz w:val="18"/>
        </w:rPr>
        <w:t>Unilever, Englewood Cliffs, NJ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Executed seasonal campaigns across paid, owned, and shopper channels, exceeding trial targets by 18%.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Analyzed panel and retail data to identify a premium segment worth $42M in annual category sales.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Coordinated packaging, legal, supply, and retailer readiness for nine launches with 96% on-time delivery.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Created post-launch scorecards connecting distribution, trial, repeat, and margin to accountable follow-up actions.</w:t>
      </w:r>
    </w:p>
    <w:p>
      <w:pPr>
        <w:keepLines/>
        <w:spacing w:after="60" w:line="269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9"/>
        </w:rPr>
        <w:t>Prepared retailer sell-in narratives using category evidence, consumer insight, and differentiated brand roles.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Brand strategy | Positioning | Consumer research | Integrated marketing | Portfolio strategy | Creative development | Brand health | Go-to-market planning | Budget management | Retail activation | NielsenIQ | Kantar | Agency management | Commercial analysis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Kantar BrandZ Masterclass | AMA Professional Certified Marketer</w:t>
      </w:r>
    </w:p>
    <w:p>
      <w:pPr>
        <w:keepNext/>
        <w:spacing w:before="180" w:after="10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B.B.A. in Marketing, University of Wisconsin-Madison, Madison, WI</w:t>
      </w:r>
    </w:p>
    <w:sectPr w:rsidR="00FC693F" w:rsidRPr="0006063C" w:rsidSect="00034616">
      <w:pgSz w:w="11909" w:h="16834"/>
      <w:pgMar w:top="691" w:right="893" w:bottom="691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6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69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Brand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